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fr-FR"/>
          <w14:textFill>
            <w14:solidFill>
              <w14:srgbClr w14:val="212529"/>
            </w14:solidFill>
          </w14:textFill>
        </w:rPr>
        <w:t>Insentient Surrogate</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 xml:space="preserve">Explanation: The Insentient Surrogate provides a </w:t>
      </w:r>
      <w:r>
        <w:rPr>
          <w:outline w:val="0"/>
          <w:color w:val="202528"/>
          <w:sz w:val="32"/>
          <w:szCs w:val="32"/>
          <w:rtl w:val="1"/>
          <w:lang w:val="ar-SA" w:bidi="ar-SA"/>
          <w14:textFill>
            <w14:solidFill>
              <w14:srgbClr w14:val="212529"/>
            </w14:solidFill>
          </w14:textFill>
        </w:rPr>
        <w:t>“</w:t>
      </w:r>
      <w:r>
        <w:rPr>
          <w:outline w:val="0"/>
          <w:color w:val="202528"/>
          <w:sz w:val="32"/>
          <w:szCs w:val="32"/>
          <w:rtl w:val="0"/>
          <w:lang w:val="en-US"/>
          <w14:textFill>
            <w14:solidFill>
              <w14:srgbClr w14:val="212529"/>
            </w14:solidFill>
          </w14:textFill>
        </w:rPr>
        <w:t>touch-free</w:t>
      </w:r>
      <w:r>
        <w:rPr>
          <w:outline w:val="0"/>
          <w:color w:val="202528"/>
          <w:sz w:val="32"/>
          <w:szCs w:val="32"/>
          <w:rtl w:val="0"/>
          <w14:textFill>
            <w14:solidFill>
              <w14:srgbClr w14:val="212529"/>
            </w14:solidFill>
          </w14:textFill>
        </w:rPr>
        <w:t>”</w:t>
      </w:r>
      <w:r>
        <w:rPr>
          <w:outline w:val="0"/>
          <w:color w:val="202528"/>
          <w:sz w:val="32"/>
          <w:szCs w:val="32"/>
          <w:rtl w:val="0"/>
          <w:lang w:val="en-US"/>
          <w14:textFill>
            <w14:solidFill>
              <w14:srgbClr w14:val="212529"/>
            </w14:solidFill>
          </w14:textFill>
        </w:rPr>
        <w:t>, quarantine-safe embrace that drapes over the shoulder and applies pressure to the user</w:t>
      </w:r>
      <w:r>
        <w:rPr>
          <w:outline w:val="0"/>
          <w:color w:val="202528"/>
          <w:sz w:val="32"/>
          <w:szCs w:val="32"/>
          <w:rtl w:val="1"/>
          <w14:textFill>
            <w14:solidFill>
              <w14:srgbClr w14:val="212529"/>
            </w14:solidFill>
          </w14:textFill>
        </w:rPr>
        <w:t>’</w:t>
      </w:r>
      <w:r>
        <w:rPr>
          <w:outline w:val="0"/>
          <w:color w:val="202528"/>
          <w:sz w:val="32"/>
          <w:szCs w:val="32"/>
          <w:rtl w:val="0"/>
          <w14:textFill>
            <w14:solidFill>
              <w14:srgbClr w14:val="212529"/>
            </w14:solidFill>
          </w14:textFill>
        </w:rPr>
        <w:t>s body.</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Due to COVID-19, the intimate interactions between people have been limited and a majority of people</w:t>
      </w:r>
      <w:r>
        <w:rPr>
          <w:outline w:val="0"/>
          <w:color w:val="202528"/>
          <w:sz w:val="32"/>
          <w:szCs w:val="32"/>
          <w:rtl w:val="1"/>
          <w14:textFill>
            <w14:solidFill>
              <w14:srgbClr w14:val="212529"/>
            </w14:solidFill>
          </w14:textFill>
        </w:rPr>
        <w:t>’</w:t>
      </w:r>
      <w:r>
        <w:rPr>
          <w:outline w:val="0"/>
          <w:color w:val="202528"/>
          <w:sz w:val="32"/>
          <w:szCs w:val="32"/>
          <w:rtl w:val="0"/>
          <w:lang w:val="en-US"/>
          <w14:textFill>
            <w14:solidFill>
              <w14:srgbClr w14:val="212529"/>
            </w14:solidFill>
          </w14:textFill>
        </w:rPr>
        <w:t>s mental health has been affected negatively. Touch is an important sense for development and the promotion of a good mood. I want people to interact with my design and feel comfortable, safe, and the sense of warmth that comes alongside intimate interactions with others that we are not able to have due to the current state of the world.</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fr-FR"/>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